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Building a Creative Personality November 20, 2011 Maulana Wahiduddin Khan</w:t>
      </w:r>
    </w:p>
    <w:p>
      <w:r>
        <w:t>https://www.youtube.com/watch?v=EI_HKq-w-0o</w:t>
      </w:r>
    </w:p>
    <w:p>
      <w:r>
        <w:rPr>
          <w:b/>
        </w:rPr>
        <w:t xml:space="preserve">[00:14] </w:t>
      </w:r>
      <w:r>
        <w:t>bismillah-ir-rehman-ir-rahim,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wasalli-allahu ala-n-nabiyyi-l-karim.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rab-ishrah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w-ahlul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ka topic hai: building a</w:t>
      </w:r>
    </w:p>
    <w:p>
      <w:pPr>
        <w:jc w:val="right"/>
      </w:pPr>
      <w:r>
        <w:t>آج کا ٹاپک ہے: بلڈنگ ا</w:t>
      </w:r>
    </w:p>
    <w:p>
      <w:r>
        <w:rPr>
          <w:b/>
        </w:rPr>
        <w:t xml:space="preserve">[00:41] </w:t>
      </w:r>
      <w:r>
        <w:t>creative personality.</w:t>
      </w:r>
    </w:p>
    <w:p>
      <w:pPr>
        <w:jc w:val="right"/>
      </w:pPr>
      <w:r>
        <w:t>کریٹیو پرسنیلٹی۔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