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Material Science &amp; Spiritual Science May 20, 2012 - Maulana Wahiduddin Khan</w:t>
      </w:r>
    </w:p>
    <w:p>
      <w:r>
        <w:t>https://www.youtube.com/watch?v=S4qAEDEALPQ</w:t>
      </w:r>
    </w:p>
    <w:p>
      <w:r>
        <w:rPr>
          <w:b/>
        </w:rPr>
        <w:t xml:space="preserve">[00:13]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 nabiy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[00:26]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[00:32] </w:t>
      </w:r>
      <w:r>
        <w:t>material science and spiritual science,</w:t>
      </w:r>
    </w:p>
    <w:p>
      <w:pPr>
        <w:jc w:val="right"/>
      </w:pPr>
      <w:r>
        <w:t>مٹیریل سائنس اینڈ اسپیریچول سائنس،</w:t>
      </w:r>
    </w:p>
    <w:p>
      <w:r>
        <w:rPr>
          <w:b/>
        </w:rPr>
        <w:t xml:space="preserve">[00:38] </w:t>
      </w:r>
      <w:r>
        <w:t>yani madi ilm aur ruhani ilm.</w:t>
      </w:r>
    </w:p>
    <w:p>
      <w:pPr>
        <w:jc w:val="right"/>
      </w:pPr>
      <w:r>
        <w:t>یعنی مادی علم اور روحانی علم۔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