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 Search of Truth July 11, 2008 Maulana Wahiduddin Khan</w:t>
      </w:r>
    </w:p>
    <w:p>
      <w:r>
        <w:t>https://www.youtube.com/watch?v=MAExk7XrJN8</w:t>
      </w:r>
    </w:p>
    <w:p>
      <w:r>
        <w:rPr>
          <w:b/>
        </w:rPr>
        <w:t xml:space="preserve">[00:10]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[00:15] </w:t>
      </w:r>
      <w:r>
        <w:t>wa salla 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[00:19] </w:t>
      </w:r>
      <w:r>
        <w:t>rab ishrah li sadri, wa yassar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[00:24] </w:t>
      </w:r>
      <w:r>
        <w:t>wahl uqdatan min lisani, yafqahu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[00:34] </w:t>
      </w:r>
      <w:r>
        <w:t>the theme for the present talk is</w:t>
      </w:r>
    </w:p>
    <w:p>
      <w:pPr>
        <w:jc w:val="right"/>
      </w:pPr>
      <w:r>
        <w:t>دا تھیم فار دی پریزنٹ ٹاک از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