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Determinism and Freedom July 14, 2008 Maulana Wahiduddin Khan</w:t>
      </w:r>
    </w:p>
    <w:p>
      <w:r>
        <w:t>https://www.youtube.com/watch?v=q_WfEpIqEx0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 yassar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 qawli. aaj ka</w:t>
      </w:r>
    </w:p>
    <w:p>
      <w:pPr>
        <w:jc w:val="right"/>
      </w:pPr>
      <w:r>
        <w:t>یفقہ قولی۔ آج کا</w:t>
      </w:r>
    </w:p>
    <w:p>
      <w:r>
        <w:rPr>
          <w:b/>
        </w:rPr>
        <w:t xml:space="preserve">[00:36] </w:t>
      </w:r>
      <w:r>
        <w:t>topic hai</w:t>
      </w:r>
    </w:p>
    <w:p>
      <w:pPr>
        <w:jc w:val="right"/>
      </w:pPr>
      <w:r>
        <w:t>ٹاپک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