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 Not Culture August 29, 2007 Maulana Wahiduddin Khan</w:t>
      </w:r>
    </w:p>
    <w:p>
      <w:r>
        <w:t>https://www.youtube.com/watch?v=UW9bmCoIDps</w:t>
      </w:r>
    </w:p>
    <w:p>
      <w:r>
        <w:rPr>
          <w:b/>
        </w:rPr>
        <w:t xml:space="preserve">[00:11]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wa-salli-llahu 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[00:27]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[00:33] </w:t>
      </w:r>
      <w:r>
        <w:t>The topic for this day is</w:t>
      </w:r>
    </w:p>
    <w:p>
      <w:pPr>
        <w:jc w:val="right"/>
      </w:pPr>
      <w:r>
        <w:t>The topic for this day is</w:t>
      </w:r>
    </w:p>
    <w:p>
      <w:r>
        <w:rPr>
          <w:b/>
        </w:rPr>
        <w:t xml:space="preserve">[00:39] </w:t>
      </w:r>
      <w:r>
        <w:t>"Me Not Culture."</w:t>
      </w:r>
    </w:p>
    <w:p>
      <w:pPr>
        <w:jc w:val="right"/>
      </w:pPr>
      <w:r>
        <w:t>"Me Not Culture."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