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Religion and Spirituality, October 31, 2007</w:t>
      </w:r>
    </w:p>
    <w:p>
      <w:r>
        <w:t>https://www.youtube.com/watch?v=Mlw8Bq-d2ow</w:t>
      </w:r>
    </w:p>
    <w:p>
      <w:r>
        <w:rPr>
          <w:b/>
        </w:rPr>
        <w:t xml:space="preserve">[00:13]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wahalul uqdata min lisaani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[00:34] </w:t>
      </w:r>
      <w:r>
        <w:t>aaj ki baat ka jo topic hai woh hai</w:t>
      </w:r>
    </w:p>
    <w:p>
      <w:pPr>
        <w:jc w:val="right"/>
      </w:pPr>
      <w:r>
        <w:t>آج کی بات کا جو ٹاپک ہے وہ ہے</w:t>
      </w:r>
    </w:p>
    <w:p>
      <w:r>
        <w:rPr>
          <w:b/>
        </w:rPr>
        <w:t xml:space="preserve">[00:40] </w:t>
      </w:r>
      <w:r>
        <w:t>religion and spirituality</w:t>
      </w:r>
    </w:p>
    <w:p>
      <w:pPr>
        <w:jc w:val="right"/>
      </w:pPr>
      <w:r>
        <w:t>Religion and Spirituality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